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5CD2DC64" w14:textId="77777777" w:rsidR="006C6BB6" w:rsidRPr="006C6BB6" w:rsidRDefault="006C6BB6" w:rsidP="006C6BB6">
            <w:pPr>
              <w:spacing w:after="0" w:line="240" w:lineRule="auto"/>
              <w:ind w:left="136" w:right="136"/>
              <w:jc w:val="both"/>
              <w:rPr>
                <w:rFonts w:ascii="Times New Roman" w:hAnsi="Times New Roman"/>
                <w:sz w:val="24"/>
                <w:szCs w:val="24"/>
              </w:rPr>
            </w:pPr>
            <w:r w:rsidRPr="006C6BB6">
              <w:rPr>
                <w:rFonts w:ascii="Times New Roman" w:hAnsi="Times New Roman"/>
                <w:sz w:val="24"/>
                <w:szCs w:val="24"/>
              </w:rPr>
              <w:t>Здійснення приймання документів, що надходять до обласної прокуратури за допомогою електронної пошти, фельд’єгерським, спеціальним та поштовим зв’язком, завантажених із Системи електронної взаємодії органів виконавчої влади або доставлених уповноваженою особою.</w:t>
            </w:r>
          </w:p>
          <w:p w14:paraId="205DCFA8" w14:textId="77777777" w:rsidR="006C6BB6" w:rsidRPr="006C6BB6" w:rsidRDefault="006C6BB6" w:rsidP="006C6BB6">
            <w:pPr>
              <w:spacing w:after="0"/>
              <w:ind w:left="136" w:right="136"/>
              <w:jc w:val="both"/>
              <w:rPr>
                <w:rFonts w:ascii="Times New Roman" w:hAnsi="Times New Roman"/>
                <w:sz w:val="24"/>
                <w:szCs w:val="24"/>
              </w:rPr>
            </w:pPr>
            <w:r w:rsidRPr="006C6BB6">
              <w:rPr>
                <w:rFonts w:ascii="Times New Roman" w:hAnsi="Times New Roman"/>
                <w:sz w:val="24"/>
                <w:szCs w:val="24"/>
              </w:rPr>
              <w:t>Здійснення комплексних заходів з питань приймання та передавання вхідної кореспонденції:</w:t>
            </w:r>
          </w:p>
          <w:p w14:paraId="49F42604" w14:textId="77777777" w:rsidR="006C6BB6" w:rsidRPr="006C6BB6" w:rsidRDefault="006C6BB6" w:rsidP="006C6BB6">
            <w:pPr>
              <w:spacing w:after="0"/>
              <w:ind w:left="136" w:right="136"/>
              <w:jc w:val="both"/>
              <w:rPr>
                <w:rFonts w:ascii="Times New Roman" w:hAnsi="Times New Roman"/>
                <w:sz w:val="24"/>
                <w:szCs w:val="24"/>
              </w:rPr>
            </w:pPr>
            <w:r w:rsidRPr="006C6BB6">
              <w:rPr>
                <w:rFonts w:ascii="Times New Roman" w:hAnsi="Times New Roman"/>
                <w:sz w:val="24"/>
                <w:szCs w:val="24"/>
              </w:rPr>
              <w:t>- проведення обов’язкового попереднього розгляду електронних документів у інформаційній системі «Система електронного документообігу органів прокуратури України» (далі – ІС «СЕД»);</w:t>
            </w:r>
          </w:p>
          <w:p w14:paraId="366333F5" w14:textId="77777777" w:rsidR="006C6BB6" w:rsidRPr="006C6BB6" w:rsidRDefault="006C6BB6" w:rsidP="006C6BB6">
            <w:pPr>
              <w:spacing w:after="0"/>
              <w:ind w:left="136" w:right="136"/>
              <w:jc w:val="both"/>
              <w:rPr>
                <w:rFonts w:ascii="Times New Roman" w:hAnsi="Times New Roman"/>
                <w:sz w:val="24"/>
                <w:szCs w:val="24"/>
              </w:rPr>
            </w:pPr>
            <w:r w:rsidRPr="006C6BB6">
              <w:rPr>
                <w:rFonts w:ascii="Times New Roman" w:hAnsi="Times New Roman"/>
                <w:sz w:val="24"/>
                <w:szCs w:val="24"/>
              </w:rPr>
              <w:t xml:space="preserve">- внесення даних вхідного документа шляхом створення запису в облікових даних про нього та оформлення </w:t>
            </w:r>
            <w:proofErr w:type="spellStart"/>
            <w:r w:rsidRPr="006C6BB6">
              <w:rPr>
                <w:rFonts w:ascii="Times New Roman" w:hAnsi="Times New Roman"/>
                <w:sz w:val="24"/>
                <w:szCs w:val="24"/>
              </w:rPr>
              <w:t>реєстраційно</w:t>
            </w:r>
            <w:proofErr w:type="spellEnd"/>
            <w:r w:rsidRPr="006C6BB6">
              <w:rPr>
                <w:rFonts w:ascii="Times New Roman" w:hAnsi="Times New Roman"/>
                <w:sz w:val="24"/>
                <w:szCs w:val="24"/>
              </w:rPr>
              <w:t>-моніторингової картки у ІС «СЕД»;</w:t>
            </w:r>
          </w:p>
          <w:p w14:paraId="16CD02F1" w14:textId="77777777" w:rsidR="006C6BB6" w:rsidRPr="006C6BB6" w:rsidRDefault="006C6BB6" w:rsidP="006C6BB6">
            <w:pPr>
              <w:spacing w:after="0" w:line="240" w:lineRule="auto"/>
              <w:ind w:left="136" w:right="136"/>
              <w:jc w:val="both"/>
              <w:rPr>
                <w:rFonts w:ascii="Times New Roman" w:hAnsi="Times New Roman"/>
                <w:sz w:val="24"/>
                <w:szCs w:val="24"/>
              </w:rPr>
            </w:pPr>
            <w:r w:rsidRPr="006C6BB6">
              <w:rPr>
                <w:rFonts w:ascii="Times New Roman" w:hAnsi="Times New Roman"/>
                <w:sz w:val="24"/>
                <w:szCs w:val="24"/>
              </w:rPr>
              <w:t>- забезпечення вчасної передачі вхідної кореспонденції керівництву обласної прокуратури та до структурних підрозділів обласної прокуратури, а також відображення передачі цих документів у відповідних реєстрах.</w:t>
            </w:r>
          </w:p>
          <w:p w14:paraId="51F68F39" w14:textId="77777777" w:rsidR="006C6BB6" w:rsidRPr="006C6BB6" w:rsidRDefault="006C6BB6" w:rsidP="006C6BB6">
            <w:pPr>
              <w:pStyle w:val="2"/>
              <w:spacing w:before="0" w:line="240" w:lineRule="auto"/>
              <w:ind w:left="136" w:right="136" w:hanging="15"/>
              <w:rPr>
                <w:rFonts w:ascii="Times New Roman" w:hAnsi="Times New Roman"/>
                <w:color w:val="000000"/>
                <w:sz w:val="24"/>
                <w:szCs w:val="24"/>
                <w:lang w:val="uk-UA"/>
              </w:rPr>
            </w:pPr>
            <w:r w:rsidRPr="006C6BB6">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7AE155F8" w14:textId="77777777" w:rsidR="006C6BB6" w:rsidRPr="006C6BB6" w:rsidRDefault="006C6BB6" w:rsidP="006C6BB6">
            <w:pPr>
              <w:pStyle w:val="2"/>
              <w:spacing w:before="0" w:line="240" w:lineRule="auto"/>
              <w:ind w:left="136" w:right="136" w:hanging="15"/>
              <w:rPr>
                <w:rFonts w:ascii="Times New Roman" w:hAnsi="Times New Roman"/>
                <w:color w:val="000000"/>
                <w:sz w:val="24"/>
                <w:szCs w:val="24"/>
                <w:lang w:val="uk-UA"/>
              </w:rPr>
            </w:pPr>
            <w:r w:rsidRPr="006C6BB6">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31AC0A40" w14:textId="77777777" w:rsidR="006C6BB6" w:rsidRPr="006C6BB6" w:rsidRDefault="006C6BB6" w:rsidP="006C6BB6">
            <w:pPr>
              <w:spacing w:after="0" w:line="240" w:lineRule="auto"/>
              <w:ind w:left="136" w:right="136"/>
              <w:jc w:val="both"/>
              <w:rPr>
                <w:rFonts w:ascii="Times New Roman" w:hAnsi="Times New Roman"/>
                <w:color w:val="000000"/>
                <w:sz w:val="24"/>
                <w:szCs w:val="24"/>
              </w:rPr>
            </w:pPr>
            <w:r w:rsidRPr="006C6BB6">
              <w:rPr>
                <w:rFonts w:ascii="Times New Roman" w:hAnsi="Times New Roman"/>
                <w:color w:val="000000"/>
                <w:sz w:val="24"/>
                <w:szCs w:val="24"/>
              </w:rPr>
              <w:t>Забезпечення проведення щорічної звірки наявності документів з грифом «Для службового користування» у структурних підрозділах обласної прокуратури, її аналіз та підготовка відповідних довідок.</w:t>
            </w:r>
          </w:p>
          <w:p w14:paraId="3011F62B" w14:textId="77777777" w:rsidR="006C6BB6" w:rsidRPr="006C6BB6" w:rsidRDefault="006C6BB6" w:rsidP="006C6BB6">
            <w:pPr>
              <w:spacing w:after="0" w:line="240" w:lineRule="auto"/>
              <w:ind w:left="136" w:right="136"/>
              <w:jc w:val="both"/>
              <w:rPr>
                <w:rFonts w:ascii="Times New Roman" w:hAnsi="Times New Roman"/>
                <w:sz w:val="24"/>
                <w:szCs w:val="24"/>
              </w:rPr>
            </w:pPr>
            <w:r w:rsidRPr="006C6BB6">
              <w:rPr>
                <w:rFonts w:ascii="Times New Roman" w:hAnsi="Times New Roman"/>
                <w:sz w:val="24"/>
                <w:szCs w:val="24"/>
              </w:rPr>
              <w:t>Забезпечення проходження стажування та навчання працівників окружних прокуратур.</w:t>
            </w:r>
          </w:p>
          <w:p w14:paraId="19BBA8A3" w14:textId="12291721" w:rsidR="00160349" w:rsidRPr="00785F5A" w:rsidRDefault="006C6BB6" w:rsidP="006C6BB6">
            <w:pPr>
              <w:spacing w:after="0" w:line="240" w:lineRule="auto"/>
              <w:ind w:left="136" w:right="136"/>
              <w:jc w:val="both"/>
              <w:rPr>
                <w:rFonts w:ascii="Times New Roman" w:eastAsia="Times New Roman" w:hAnsi="Times New Roman"/>
                <w:sz w:val="24"/>
                <w:szCs w:val="24"/>
                <w:lang w:eastAsia="ru-RU"/>
              </w:rPr>
            </w:pPr>
            <w:r w:rsidRPr="006C6BB6">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 </w:t>
            </w:r>
            <w:r w:rsidR="005E0A17" w:rsidRPr="00447837">
              <w:rPr>
                <w:rFonts w:ascii="Times New Roman" w:hAnsi="Times New Roman"/>
                <w:color w:val="FF0000"/>
                <w:sz w:val="24"/>
                <w:szCs w:val="24"/>
              </w:rPr>
              <w:t>12305</w:t>
            </w:r>
            <w:r w:rsidRPr="00447837">
              <w:rPr>
                <w:rFonts w:ascii="Times New Roman" w:hAnsi="Times New Roman"/>
                <w:color w:val="FF0000"/>
                <w:sz w:val="24"/>
                <w:szCs w:val="24"/>
              </w:rPr>
              <w:t>, 00</w:t>
            </w:r>
            <w:r w:rsidRPr="00F876DD">
              <w:rPr>
                <w:rFonts w:ascii="Times New Roman" w:hAnsi="Times New Roman"/>
                <w:sz w:val="24"/>
                <w:szCs w:val="24"/>
              </w:rPr>
              <w:t xml:space="preserve">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lastRenderedPageBreak/>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64BCB0BB"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w:t>
            </w:r>
            <w:r w:rsidRPr="000C7F0A">
              <w:rPr>
                <w:rFonts w:ascii="Times New Roman" w:hAnsi="Times New Roman"/>
                <w:sz w:val="24"/>
                <w:szCs w:val="24"/>
              </w:rPr>
              <w:t xml:space="preserve">приймаються </w:t>
            </w:r>
            <w:r w:rsidRPr="000C7F0A">
              <w:rPr>
                <w:rFonts w:ascii="Times New Roman" w:hAnsi="Times New Roman"/>
                <w:b/>
                <w:bCs/>
                <w:sz w:val="24"/>
                <w:szCs w:val="24"/>
              </w:rPr>
              <w:t xml:space="preserve">до </w:t>
            </w:r>
            <w:r w:rsidRPr="000C7F0A">
              <w:rPr>
                <w:rFonts w:ascii="Times New Roman" w:hAnsi="Times New Roman"/>
                <w:b/>
                <w:sz w:val="24"/>
                <w:szCs w:val="24"/>
              </w:rPr>
              <w:t xml:space="preserve">18 год 00 хв </w:t>
            </w:r>
            <w:r w:rsidR="000C7F0A" w:rsidRPr="000C7F0A">
              <w:rPr>
                <w:rFonts w:ascii="Times New Roman" w:hAnsi="Times New Roman"/>
                <w:b/>
                <w:sz w:val="24"/>
                <w:szCs w:val="24"/>
              </w:rPr>
              <w:t>26</w:t>
            </w:r>
            <w:r w:rsidRPr="000C7F0A">
              <w:rPr>
                <w:rFonts w:ascii="Times New Roman" w:hAnsi="Times New Roman"/>
                <w:b/>
                <w:bCs/>
                <w:sz w:val="24"/>
                <w:szCs w:val="24"/>
              </w:rPr>
              <w:t xml:space="preserve"> </w:t>
            </w:r>
            <w:r w:rsidR="005E0A17" w:rsidRPr="000C7F0A">
              <w:rPr>
                <w:rFonts w:ascii="Times New Roman" w:hAnsi="Times New Roman"/>
                <w:b/>
                <w:bCs/>
                <w:sz w:val="24"/>
                <w:szCs w:val="24"/>
              </w:rPr>
              <w:t>березня</w:t>
            </w:r>
            <w:r w:rsidRPr="000C7F0A">
              <w:rPr>
                <w:rFonts w:ascii="Times New Roman" w:hAnsi="Times New Roman"/>
                <w:b/>
                <w:bCs/>
                <w:sz w:val="24"/>
                <w:szCs w:val="24"/>
              </w:rPr>
              <w:t xml:space="preserve"> 202</w:t>
            </w:r>
            <w:r w:rsidR="005E0A17" w:rsidRPr="000C7F0A">
              <w:rPr>
                <w:rFonts w:ascii="Times New Roman" w:hAnsi="Times New Roman"/>
                <w:b/>
                <w:bCs/>
                <w:sz w:val="24"/>
                <w:szCs w:val="24"/>
              </w:rPr>
              <w:t>5</w:t>
            </w:r>
            <w:r w:rsidRPr="000C7F0A">
              <w:rPr>
                <w:rFonts w:ascii="Times New Roman" w:hAnsi="Times New Roman"/>
                <w:b/>
                <w:bCs/>
                <w:sz w:val="24"/>
                <w:szCs w:val="24"/>
              </w:rPr>
              <w:t xml:space="preserve"> року</w:t>
            </w:r>
            <w:r w:rsidRPr="000C7F0A">
              <w:rPr>
                <w:rFonts w:ascii="Times New Roman" w:hAnsi="Times New Roman"/>
                <w:sz w:val="24"/>
                <w:szCs w:val="24"/>
              </w:rPr>
              <w:t xml:space="preserve"> на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lastRenderedPageBreak/>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lastRenderedPageBreak/>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C7F0A"/>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C6BB6"/>
    <w:rsid w:val="006E407F"/>
    <w:rsid w:val="006E4DCE"/>
    <w:rsid w:val="00714620"/>
    <w:rsid w:val="00716964"/>
    <w:rsid w:val="0072428C"/>
    <w:rsid w:val="007327E3"/>
    <w:rsid w:val="00740936"/>
    <w:rsid w:val="0074316C"/>
    <w:rsid w:val="00755D20"/>
    <w:rsid w:val="00757760"/>
    <w:rsid w:val="00762BEC"/>
    <w:rsid w:val="0077408D"/>
    <w:rsid w:val="007746A8"/>
    <w:rsid w:val="00783DE8"/>
    <w:rsid w:val="00785F5A"/>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C6C9C"/>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26129"/>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08FB"/>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1127</Words>
  <Characters>6424</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76</cp:revision>
  <cp:lastPrinted>2025-03-24T09:01:00Z</cp:lastPrinted>
  <dcterms:created xsi:type="dcterms:W3CDTF">2022-06-10T12:22:00Z</dcterms:created>
  <dcterms:modified xsi:type="dcterms:W3CDTF">2025-03-24T09:01:00Z</dcterms:modified>
</cp:coreProperties>
</file>